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Header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Header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503C3D8E" w:rsidR="00D32652" w:rsidRPr="00D32652" w:rsidRDefault="00B92977" w:rsidP="008B6263">
            <w:pPr>
              <w:pStyle w:val="Header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7F2B14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PYME DIGITAL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75233A" w14:paraId="0FE24CCD" w14:textId="77777777" w:rsidTr="00627DA6">
        <w:trPr>
          <w:trHeight w:val="355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FBD6541" w14:textId="2C09AA8E" w:rsidR="0075233A" w:rsidRPr="0075233A" w:rsidRDefault="0075233A" w:rsidP="0075233A">
            <w:pPr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DATOS EMPRESA BENEFICIARIA</w:t>
            </w:r>
          </w:p>
        </w:tc>
      </w:tr>
      <w:tr w:rsidR="00424451" w14:paraId="4DABA7D2" w14:textId="77777777" w:rsidTr="0075233A">
        <w:trPr>
          <w:cantSplit/>
        </w:trPr>
        <w:tc>
          <w:tcPr>
            <w:tcW w:w="3119" w:type="dxa"/>
            <w:tcBorders>
              <w:top w:val="single" w:sz="8" w:space="0" w:color="auto"/>
            </w:tcBorders>
          </w:tcPr>
          <w:p w14:paraId="2DCFA4EE" w14:textId="5EC6D431" w:rsidR="00424451" w:rsidRPr="00424451" w:rsidRDefault="0075233A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RAZÓN SOCIAL:</w:t>
            </w:r>
          </w:p>
        </w:tc>
        <w:tc>
          <w:tcPr>
            <w:tcW w:w="6231" w:type="dxa"/>
            <w:tcBorders>
              <w:top w:val="single" w:sz="8" w:space="0" w:color="auto"/>
            </w:tcBorders>
          </w:tcPr>
          <w:p w14:paraId="11F70C9D" w14:textId="77777777" w:rsidR="00424451" w:rsidRDefault="00424451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33A" w14:paraId="36860EDF" w14:textId="77777777" w:rsidTr="0075233A">
        <w:trPr>
          <w:cantSplit/>
        </w:trPr>
        <w:tc>
          <w:tcPr>
            <w:tcW w:w="3119" w:type="dxa"/>
          </w:tcPr>
          <w:p w14:paraId="37876BF4" w14:textId="182CFF4F" w:rsidR="0075233A" w:rsidRPr="00424451" w:rsidRDefault="0075233A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NIF:</w:t>
            </w:r>
          </w:p>
        </w:tc>
        <w:tc>
          <w:tcPr>
            <w:tcW w:w="6231" w:type="dxa"/>
          </w:tcPr>
          <w:p w14:paraId="6145316D" w14:textId="77777777" w:rsidR="0075233A" w:rsidRDefault="0075233A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70B5ED4C" w14:textId="77777777" w:rsidTr="0075233A">
        <w:trPr>
          <w:cantSplit/>
        </w:trPr>
        <w:tc>
          <w:tcPr>
            <w:tcW w:w="3119" w:type="dxa"/>
          </w:tcPr>
          <w:p w14:paraId="13AF43BF" w14:textId="49E30E72" w:rsidR="00C96B6D" w:rsidRPr="00424451" w:rsidRDefault="00C96B6D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REPRESENTANTE LEGAL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45C6A5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3C03592E" w14:textId="77777777" w:rsidTr="0075233A">
        <w:trPr>
          <w:cantSplit/>
        </w:trPr>
        <w:tc>
          <w:tcPr>
            <w:tcW w:w="3119" w:type="dxa"/>
          </w:tcPr>
          <w:p w14:paraId="05536EE2" w14:textId="7B8571DF" w:rsidR="00C96B6D" w:rsidRPr="00424451" w:rsidRDefault="00C96B6D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DNI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6CD17F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C6C3E6" w14:textId="77777777" w:rsidR="00424451" w:rsidRDefault="00424451" w:rsidP="00E20938">
      <w:pPr>
        <w:spacing w:before="120" w:after="120"/>
        <w:rPr>
          <w:rFonts w:ascii="Calibri" w:hAnsi="Calibri" w:cs="Arial"/>
          <w:sz w:val="22"/>
          <w:szCs w:val="22"/>
        </w:rPr>
      </w:pPr>
    </w:p>
    <w:p w14:paraId="15F7BEBD" w14:textId="04FC8ACF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="000250EE">
        <w:rPr>
          <w:rFonts w:ascii="Calibri" w:hAnsi="Calibri" w:cs="Calibri"/>
          <w:sz w:val="22"/>
          <w:szCs w:val="22"/>
        </w:rPr>
        <w:tab/>
      </w:r>
      <w:r w:rsidR="000250EE">
        <w:rPr>
          <w:rFonts w:ascii="Calibri" w:hAnsi="Calibri" w:cs="Calibri"/>
          <w:sz w:val="22"/>
          <w:szCs w:val="22"/>
        </w:rPr>
        <w:tab/>
      </w:r>
      <w:r w:rsidR="000250EE">
        <w:rPr>
          <w:rFonts w:ascii="Calibri" w:hAnsi="Calibri" w:cs="Calibri"/>
          <w:sz w:val="22"/>
          <w:szCs w:val="22"/>
        </w:rPr>
        <w:tab/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7F2B14">
        <w:rPr>
          <w:rFonts w:ascii="Calibri" w:hAnsi="Calibri" w:cs="Calibri"/>
          <w:sz w:val="22"/>
          <w:szCs w:val="22"/>
        </w:rPr>
        <w:t>Pyme Digital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7F2B14">
        <w:rPr>
          <w:rFonts w:ascii="Calibri" w:hAnsi="Calibri" w:cs="Calibri"/>
          <w:sz w:val="22"/>
          <w:szCs w:val="22"/>
        </w:rPr>
        <w:t>Pyme Digital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5F98E487" w14:textId="4EC447CF" w:rsidR="00C5157B" w:rsidRPr="00F929B3" w:rsidRDefault="007506B1" w:rsidP="00C5157B">
      <w:pPr>
        <w:pStyle w:val="ListParagraph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F929B3">
        <w:rPr>
          <w:rFonts w:asciiTheme="minorHAnsi" w:hAnsiTheme="minorHAnsi" w:cstheme="minorHAnsi"/>
        </w:rPr>
        <w:t>E</w:t>
      </w:r>
      <w:r w:rsidRPr="00F929B3">
        <w:rPr>
          <w:rFonts w:asciiTheme="minorHAnsi" w:hAnsiTheme="minorHAnsi" w:cstheme="minorHAnsi"/>
          <w:b/>
        </w:rPr>
        <w:t>l plazo de ejecución máximo para la Fase</w:t>
      </w:r>
      <w:r w:rsidR="0012158E" w:rsidRPr="00F929B3">
        <w:rPr>
          <w:rFonts w:asciiTheme="minorHAnsi" w:hAnsiTheme="minorHAnsi" w:cstheme="minorHAnsi"/>
          <w:b/>
        </w:rPr>
        <w:t xml:space="preserve"> II</w:t>
      </w:r>
      <w:r w:rsidRPr="00F929B3">
        <w:rPr>
          <w:rFonts w:asciiTheme="minorHAnsi" w:hAnsiTheme="minorHAnsi" w:cstheme="minorHAnsi"/>
          <w:b/>
        </w:rPr>
        <w:t xml:space="preserve"> </w:t>
      </w:r>
      <w:r w:rsidR="00143AD5" w:rsidRPr="00F929B3">
        <w:rPr>
          <w:rFonts w:asciiTheme="minorHAnsi" w:hAnsiTheme="minorHAnsi" w:cstheme="minorHAnsi"/>
          <w:b/>
        </w:rPr>
        <w:t xml:space="preserve">de Implantación </w:t>
      </w:r>
      <w:r w:rsidRPr="00F929B3">
        <w:rPr>
          <w:rFonts w:asciiTheme="minorHAnsi" w:hAnsiTheme="minorHAnsi" w:cstheme="minorHAnsi"/>
          <w:b/>
        </w:rPr>
        <w:t xml:space="preserve">del Programa </w:t>
      </w:r>
      <w:r w:rsidR="007F2B14">
        <w:rPr>
          <w:rFonts w:asciiTheme="minorHAnsi" w:hAnsiTheme="minorHAnsi" w:cstheme="minorHAnsi"/>
          <w:b/>
        </w:rPr>
        <w:t>Pyme Digital</w:t>
      </w:r>
      <w:r w:rsidRPr="00F929B3">
        <w:rPr>
          <w:rFonts w:asciiTheme="minorHAnsi" w:hAnsiTheme="minorHAnsi" w:cstheme="minorHAnsi"/>
          <w:b/>
        </w:rPr>
        <w:t xml:space="preserve"> será de </w:t>
      </w:r>
      <w:r w:rsidR="00F929B3" w:rsidRPr="00F929B3">
        <w:rPr>
          <w:rFonts w:asciiTheme="minorHAnsi" w:hAnsiTheme="minorHAnsi" w:cstheme="minorHAnsi"/>
          <w:b/>
        </w:rPr>
        <w:t>6</w:t>
      </w:r>
      <w:r w:rsidR="00AB3AC2" w:rsidRPr="00F929B3">
        <w:rPr>
          <w:rFonts w:asciiTheme="minorHAnsi" w:hAnsiTheme="minorHAnsi" w:cstheme="minorHAnsi"/>
          <w:b/>
        </w:rPr>
        <w:t xml:space="preserve"> </w:t>
      </w:r>
      <w:r w:rsidRPr="00F929B3">
        <w:rPr>
          <w:rFonts w:asciiTheme="minorHAnsi" w:hAnsiTheme="minorHAnsi" w:cstheme="minorHAnsi"/>
          <w:b/>
        </w:rPr>
        <w:t>meses</w:t>
      </w:r>
      <w:r w:rsidRPr="00F929B3">
        <w:rPr>
          <w:rFonts w:asciiTheme="minorHAnsi" w:hAnsiTheme="minorHAnsi" w:cstheme="minorHAnsi"/>
        </w:rPr>
        <w:t xml:space="preserve"> a partir de la finalización de la Fase I de </w:t>
      </w:r>
      <w:r w:rsidR="0012158E" w:rsidRPr="00F929B3">
        <w:rPr>
          <w:rFonts w:asciiTheme="minorHAnsi" w:hAnsiTheme="minorHAnsi" w:cstheme="minorHAnsi"/>
        </w:rPr>
        <w:t xml:space="preserve">Diagnostico Asistido en </w:t>
      </w:r>
      <w:r w:rsidR="007F2B14">
        <w:rPr>
          <w:rFonts w:asciiTheme="minorHAnsi" w:hAnsiTheme="minorHAnsi" w:cstheme="minorHAnsi"/>
        </w:rPr>
        <w:t>Pyme Digital</w:t>
      </w:r>
      <w:r w:rsidR="003A0981" w:rsidRPr="00F929B3">
        <w:rPr>
          <w:rFonts w:asciiTheme="minorHAnsi" w:hAnsiTheme="minorHAnsi" w:cstheme="minorHAnsi"/>
        </w:rPr>
        <w:t xml:space="preserve">, según el </w:t>
      </w:r>
      <w:r w:rsidR="003A0981" w:rsidRPr="00F929B3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 w:rsidRPr="00F929B3">
        <w:rPr>
          <w:rFonts w:asciiTheme="minorHAnsi" w:hAnsiTheme="minorHAnsi" w:cstheme="minorHAnsi"/>
        </w:rPr>
        <w:t xml:space="preserve"> siguient</w:t>
      </w:r>
      <w:r w:rsidR="002F7919">
        <w:rPr>
          <w:rFonts w:asciiTheme="minorHAnsi" w:hAnsiTheme="minorHAnsi" w:cstheme="minorHAnsi"/>
        </w:rPr>
        <w:t>e</w:t>
      </w:r>
      <w:r w:rsidR="003A0981" w:rsidRPr="00F929B3">
        <w:rPr>
          <w:rFonts w:asciiTheme="minorHAnsi" w:hAnsiTheme="minorHAnsi" w:cstheme="minorHAnsi"/>
        </w:rPr>
        <w:t>:</w:t>
      </w:r>
    </w:p>
    <w:tbl>
      <w:tblPr>
        <w:tblStyle w:val="TableGrid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984"/>
        <w:gridCol w:w="7230"/>
      </w:tblGrid>
      <w:tr w:rsidR="00A22EE9" w:rsidRPr="000B4F3F" w14:paraId="52D4927D" w14:textId="77777777" w:rsidTr="0014568F">
        <w:trPr>
          <w:trHeight w:val="90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DB0D16" w14:textId="77777777" w:rsid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INICIO</w:t>
            </w:r>
            <w:r w:rsidR="00624BC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BD3182" w14:textId="5C9A7082" w:rsidR="00A22EE9" w:rsidRP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FASE DE AYUDAS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112A2" w14:textId="5541D714" w:rsidR="00A22EE9" w:rsidRPr="0014568F" w:rsidRDefault="00A22EE9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F307E86" w14:textId="77777777" w:rsidTr="0014568F">
        <w:trPr>
          <w:trHeight w:val="102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AD2AAE" w14:textId="77777777" w:rsidR="0014568F" w:rsidRDefault="0014568F" w:rsidP="003857B9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FIN</w:t>
            </w:r>
          </w:p>
          <w:p w14:paraId="06F94AE7" w14:textId="69EBBE78" w:rsidR="0014568F" w:rsidRPr="00953615" w:rsidRDefault="0014568F" w:rsidP="006361D4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FASE DE AYUDAS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24BB441B" w14:textId="61F9DDC8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9887EA2" w14:textId="77777777" w:rsidTr="0014568F">
        <w:trPr>
          <w:trHeight w:val="6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5BFD" w14:textId="77777777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E5B1" w14:textId="74E8B862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  <w:r w:rsidRPr="0014568F">
              <w:rPr>
                <w:rFonts w:asciiTheme="minorHAnsi" w:hAnsiTheme="minorHAnsi" w:cstheme="minorHAnsi"/>
                <w:i/>
                <w:iCs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</w:tc>
      </w:tr>
    </w:tbl>
    <w:p w14:paraId="560FBA9F" w14:textId="0E47E27C" w:rsidR="00C8396B" w:rsidRPr="0014568F" w:rsidRDefault="00C8396B" w:rsidP="0014568F">
      <w:pPr>
        <w:pStyle w:val="ListParagraph"/>
        <w:numPr>
          <w:ilvl w:val="0"/>
          <w:numId w:val="15"/>
        </w:numPr>
        <w:spacing w:before="360" w:after="120" w:line="360" w:lineRule="auto"/>
        <w:ind w:left="357" w:hanging="357"/>
        <w:rPr>
          <w:rFonts w:asciiTheme="minorHAnsi" w:hAnsiTheme="minorHAnsi" w:cstheme="minorHAnsi"/>
        </w:rPr>
      </w:pPr>
      <w:r w:rsidRPr="0014568F">
        <w:rPr>
          <w:rFonts w:asciiTheme="minorHAnsi" w:hAnsiTheme="minorHAnsi" w:cstheme="minorHAnsi"/>
        </w:rPr>
        <w:t xml:space="preserve">La empresa </w:t>
      </w:r>
      <w:r w:rsidR="00917D77" w:rsidRPr="0014568F">
        <w:rPr>
          <w:rFonts w:asciiTheme="minorHAnsi" w:hAnsiTheme="minorHAnsi" w:cstheme="minorHAnsi"/>
        </w:rPr>
        <w:t xml:space="preserve">dispondrá de </w:t>
      </w:r>
      <w:r w:rsidR="00917D77" w:rsidRPr="0014568F">
        <w:rPr>
          <w:rFonts w:asciiTheme="minorHAnsi" w:hAnsiTheme="minorHAnsi" w:cstheme="minorHAnsi"/>
          <w:b/>
          <w:bCs/>
        </w:rPr>
        <w:t>un mes</w:t>
      </w:r>
      <w:r w:rsidR="00917D77" w:rsidRPr="0014568F">
        <w:rPr>
          <w:rFonts w:asciiTheme="minorHAnsi" w:hAnsiTheme="minorHAnsi" w:cstheme="minorHAnsi"/>
        </w:rPr>
        <w:t xml:space="preserve"> a contar desde la fecha fin de la fase de ayudas para </w:t>
      </w:r>
      <w:r w:rsidR="00122185" w:rsidRPr="0014568F">
        <w:rPr>
          <w:rFonts w:asciiTheme="minorHAnsi" w:hAnsiTheme="minorHAnsi" w:cstheme="minorHAnsi"/>
        </w:rPr>
        <w:t xml:space="preserve">justificar sus gastos a través de la plataforma </w:t>
      </w:r>
      <w:hyperlink r:id="rId8" w:history="1">
        <w:r w:rsidR="00347AF7" w:rsidRPr="0014568F">
          <w:rPr>
            <w:rStyle w:val="Hyperlink"/>
            <w:rFonts w:asciiTheme="minorHAnsi" w:hAnsiTheme="minorHAnsi" w:cstheme="minorHAnsi"/>
          </w:rPr>
          <w:t>https://justifica.camaras.es/ayudas</w:t>
        </w:r>
      </w:hyperlink>
      <w:r w:rsidR="00347AF7" w:rsidRPr="0014568F">
        <w:rPr>
          <w:rFonts w:asciiTheme="minorHAnsi" w:hAnsiTheme="minorHAnsi" w:cstheme="minorHAnsi"/>
        </w:rPr>
        <w:t xml:space="preserve"> </w:t>
      </w:r>
      <w:r w:rsidR="002437E6" w:rsidRPr="0014568F">
        <w:rPr>
          <w:rFonts w:asciiTheme="minorHAnsi" w:hAnsiTheme="minorHAnsi" w:cstheme="minorHAnsi"/>
        </w:rPr>
        <w:t>, siguiendo en todo caso, las instrucciones recogidas en el Anexo V “Tipología de gastos elegibles y justificación de la Fase de Ayudas</w:t>
      </w:r>
    </w:p>
    <w:p w14:paraId="394E29D4" w14:textId="20A787C1" w:rsidR="00D4141A" w:rsidRDefault="001965F6" w:rsidP="00694397">
      <w:pPr>
        <w:pStyle w:val="ListParagraph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ListParagraph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221287B9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...</w:t>
      </w:r>
      <w:r w:rsidR="00946944" w:rsidRPr="00946944">
        <w:rPr>
          <w:rFonts w:ascii="Calibri" w:hAnsi="Calibri" w:cs="Arial"/>
          <w:sz w:val="22"/>
          <w:szCs w:val="22"/>
        </w:rPr>
        <w:t xml:space="preserve">.,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2E181E">
        <w:trPr>
          <w:cantSplit/>
          <w:trHeight w:val="732"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0A2D2516" w14:textId="0926BF3C" w:rsidR="00116A74" w:rsidRPr="00116A74" w:rsidRDefault="003D4300" w:rsidP="002E181E">
            <w:pPr>
              <w:keepNext/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EMPRESA 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00F46083" w14:textId="73A96FB9" w:rsidR="00B80AF7" w:rsidRPr="00533E25" w:rsidRDefault="006901C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  <w:r w:rsidR="00627DA6">
              <w:rPr>
                <w:sz w:val="18"/>
                <w:szCs w:val="18"/>
              </w:rPr>
              <w:t xml:space="preserve"> </w:t>
            </w:r>
            <w:r w:rsidR="003D4300" w:rsidRPr="00533E25">
              <w:rPr>
                <w:sz w:val="18"/>
                <w:szCs w:val="18"/>
              </w:rPr>
              <w:t>CÁMARA DE</w:t>
            </w:r>
            <w:r w:rsidR="00424451">
              <w:rPr>
                <w:sz w:val="18"/>
                <w:szCs w:val="18"/>
              </w:rPr>
              <w:t xml:space="preserve"> COMERCIO </w:t>
            </w:r>
          </w:p>
        </w:tc>
      </w:tr>
      <w:tr w:rsidR="003D4300" w:rsidRPr="0023009B" w14:paraId="158C9EFC" w14:textId="77777777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>
            <w:pPr>
              <w:spacing w:before="120" w:after="120"/>
            </w:pPr>
          </w:p>
          <w:p w14:paraId="673A7E37" w14:textId="77777777" w:rsidR="003D4300" w:rsidRPr="0023009B" w:rsidRDefault="003D4300">
            <w:pPr>
              <w:spacing w:before="120" w:after="120"/>
            </w:pPr>
          </w:p>
          <w:p w14:paraId="56CFD24C" w14:textId="4DDB718D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>
            <w:pPr>
              <w:spacing w:before="120" w:after="120"/>
            </w:pPr>
          </w:p>
          <w:p w14:paraId="52C84616" w14:textId="77777777" w:rsidR="003D4300" w:rsidRPr="0023009B" w:rsidRDefault="003D4300">
            <w:pPr>
              <w:spacing w:before="120" w:after="120"/>
            </w:pPr>
          </w:p>
          <w:p w14:paraId="68EE35A3" w14:textId="53543056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0D6C77">
      <w:headerReference w:type="default" r:id="rId9"/>
      <w:footerReference w:type="even" r:id="rId10"/>
      <w:footerReference w:type="default" r:id="rId11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EA46" w14:textId="77777777" w:rsidR="000C6BFB" w:rsidRDefault="000C6BFB">
      <w:r>
        <w:separator/>
      </w:r>
    </w:p>
  </w:endnote>
  <w:endnote w:type="continuationSeparator" w:id="0">
    <w:p w14:paraId="5524C426" w14:textId="77777777" w:rsidR="000C6BFB" w:rsidRDefault="000C6BFB">
      <w:r>
        <w:continuationSeparator/>
      </w:r>
    </w:p>
  </w:endnote>
  <w:endnote w:type="continuationNotice" w:id="1">
    <w:p w14:paraId="6B77D5B9" w14:textId="77777777" w:rsidR="000C6BFB" w:rsidRDefault="000C6B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5C9" w14:textId="37514460" w:rsidR="005D1994" w:rsidRDefault="005D19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9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15745A" w14:textId="77777777" w:rsidR="005D1994" w:rsidRDefault="005D19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B2B4" w14:textId="2DCF163D" w:rsidR="00E009A1" w:rsidRDefault="000C4F04" w:rsidP="00E009A1">
    <w:pPr>
      <w:spacing w:before="100" w:beforeAutospacing="1" w:after="100" w:afterAutospacing="1" w:line="240" w:lineRule="auto"/>
      <w:jc w:val="left"/>
      <w:rPr>
        <w:rFonts w:ascii="Times New Roman" w:hAnsi="Times New Roman"/>
        <w:bCs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B3B8A" wp14:editId="2D630B11">
          <wp:simplePos x="0" y="0"/>
          <wp:positionH relativeFrom="column">
            <wp:posOffset>4876800</wp:posOffset>
          </wp:positionH>
          <wp:positionV relativeFrom="paragraph">
            <wp:posOffset>-80010</wp:posOffset>
          </wp:positionV>
          <wp:extent cx="933450" cy="241935"/>
          <wp:effectExtent l="0" t="0" r="0" b="5715"/>
          <wp:wrapNone/>
          <wp:docPr id="1745998600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5AD0E31" wp14:editId="28FD3A80">
          <wp:simplePos x="0" y="0"/>
          <wp:positionH relativeFrom="column">
            <wp:posOffset>133350</wp:posOffset>
          </wp:positionH>
          <wp:positionV relativeFrom="paragraph">
            <wp:posOffset>-76200</wp:posOffset>
          </wp:positionV>
          <wp:extent cx="1195200" cy="288000"/>
          <wp:effectExtent l="0" t="0" r="5080" b="0"/>
          <wp:wrapSquare wrapText="bothSides"/>
          <wp:docPr id="501374063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877010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3077"/>
      <w:gridCol w:w="3006"/>
    </w:tblGrid>
    <w:tr w:rsidR="00E009A1" w:rsidRPr="005A2CDA" w14:paraId="650295AB" w14:textId="77777777">
      <w:tc>
        <w:tcPr>
          <w:tcW w:w="3416" w:type="dxa"/>
        </w:tcPr>
        <w:p w14:paraId="56C08A58" w14:textId="586BF3D3" w:rsidR="00E009A1" w:rsidRPr="005A2CDA" w:rsidRDefault="00E009A1" w:rsidP="00E009A1">
          <w:pPr>
            <w:spacing w:before="100" w:beforeAutospacing="1" w:after="100" w:afterAutospacing="1" w:line="240" w:lineRule="auto"/>
            <w:jc w:val="lef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</w:rPr>
            <w:t>MOB 202</w:t>
          </w:r>
          <w:r w:rsidR="00122185">
            <w:rPr>
              <w:rFonts w:asciiTheme="minorHAnsi" w:hAnsiTheme="minorHAnsi" w:cstheme="minorHAnsi"/>
            </w:rPr>
            <w:t>5</w:t>
          </w:r>
          <w:r w:rsidRPr="0065287B">
            <w:rPr>
              <w:rFonts w:asciiTheme="minorHAnsi" w:hAnsiTheme="minorHAnsi" w:cstheme="minorHAnsi"/>
            </w:rPr>
            <w:tab/>
          </w:r>
        </w:p>
      </w:tc>
      <w:tc>
        <w:tcPr>
          <w:tcW w:w="3149" w:type="dxa"/>
        </w:tcPr>
        <w:p w14:paraId="3388327A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center"/>
            <w:rPr>
              <w:rFonts w:asciiTheme="minorHAnsi" w:hAnsiTheme="minorHAnsi" w:cstheme="minorHAnsi"/>
            </w:rPr>
          </w:pPr>
          <w:r w:rsidRPr="0065287B">
            <w:t>#EuropaSeSiente</w:t>
          </w:r>
        </w:p>
      </w:tc>
      <w:tc>
        <w:tcPr>
          <w:tcW w:w="3149" w:type="dxa"/>
        </w:tcPr>
        <w:p w14:paraId="0B054A5D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righ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PAGE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  <w:r w:rsidRPr="0065287B">
            <w:rPr>
              <w:rFonts w:asciiTheme="minorHAnsi" w:hAnsiTheme="minorHAnsi" w:cstheme="minorHAnsi"/>
            </w:rPr>
            <w:t xml:space="preserve"> de </w:t>
          </w: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NUMPAGES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17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845E" w14:textId="77777777" w:rsidR="000C6BFB" w:rsidRDefault="000C6BFB">
      <w:r>
        <w:separator/>
      </w:r>
    </w:p>
  </w:footnote>
  <w:footnote w:type="continuationSeparator" w:id="0">
    <w:p w14:paraId="6BE69F70" w14:textId="77777777" w:rsidR="000C6BFB" w:rsidRDefault="000C6BFB">
      <w:r>
        <w:continuationSeparator/>
      </w:r>
    </w:p>
  </w:footnote>
  <w:footnote w:type="continuationNotice" w:id="1">
    <w:p w14:paraId="7DAAB59F" w14:textId="77777777" w:rsidR="000C6BFB" w:rsidRDefault="000C6B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1560" w14:textId="172B8695" w:rsidR="005D1994" w:rsidRPr="00F636A6" w:rsidRDefault="00F636A6" w:rsidP="00F636A6">
    <w:pPr>
      <w:pStyle w:val="Header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Heading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12FE4"/>
    <w:rsid w:val="00021762"/>
    <w:rsid w:val="000250EE"/>
    <w:rsid w:val="00026DB3"/>
    <w:rsid w:val="00030A59"/>
    <w:rsid w:val="00035B91"/>
    <w:rsid w:val="00037769"/>
    <w:rsid w:val="00046133"/>
    <w:rsid w:val="0005493C"/>
    <w:rsid w:val="00061FE3"/>
    <w:rsid w:val="00067D24"/>
    <w:rsid w:val="000745C1"/>
    <w:rsid w:val="00076474"/>
    <w:rsid w:val="000859F1"/>
    <w:rsid w:val="00087434"/>
    <w:rsid w:val="00094A2E"/>
    <w:rsid w:val="000A0068"/>
    <w:rsid w:val="000A54BA"/>
    <w:rsid w:val="000A5BD3"/>
    <w:rsid w:val="000B1655"/>
    <w:rsid w:val="000B6E4C"/>
    <w:rsid w:val="000C4F04"/>
    <w:rsid w:val="000C6BFB"/>
    <w:rsid w:val="000D0B15"/>
    <w:rsid w:val="000D2893"/>
    <w:rsid w:val="000D6C77"/>
    <w:rsid w:val="000D6F65"/>
    <w:rsid w:val="001032AF"/>
    <w:rsid w:val="00111F4A"/>
    <w:rsid w:val="00115477"/>
    <w:rsid w:val="00116A74"/>
    <w:rsid w:val="0012158E"/>
    <w:rsid w:val="00122185"/>
    <w:rsid w:val="001361B4"/>
    <w:rsid w:val="0013715F"/>
    <w:rsid w:val="00143AD5"/>
    <w:rsid w:val="0014568F"/>
    <w:rsid w:val="0015148A"/>
    <w:rsid w:val="001526D3"/>
    <w:rsid w:val="00163A22"/>
    <w:rsid w:val="00165853"/>
    <w:rsid w:val="00166A50"/>
    <w:rsid w:val="00167824"/>
    <w:rsid w:val="00171D96"/>
    <w:rsid w:val="00177ECB"/>
    <w:rsid w:val="00180A1D"/>
    <w:rsid w:val="00185C52"/>
    <w:rsid w:val="00191281"/>
    <w:rsid w:val="001965F6"/>
    <w:rsid w:val="001978CB"/>
    <w:rsid w:val="001A2E69"/>
    <w:rsid w:val="001A365C"/>
    <w:rsid w:val="001B01C9"/>
    <w:rsid w:val="001B06E1"/>
    <w:rsid w:val="001B7AF5"/>
    <w:rsid w:val="001C421C"/>
    <w:rsid w:val="001D0527"/>
    <w:rsid w:val="001D2ADA"/>
    <w:rsid w:val="001E285F"/>
    <w:rsid w:val="001F27A4"/>
    <w:rsid w:val="001F3423"/>
    <w:rsid w:val="00215177"/>
    <w:rsid w:val="0021526C"/>
    <w:rsid w:val="00227BB3"/>
    <w:rsid w:val="00230D2E"/>
    <w:rsid w:val="00241415"/>
    <w:rsid w:val="00242274"/>
    <w:rsid w:val="002437E6"/>
    <w:rsid w:val="002507E3"/>
    <w:rsid w:val="00250D7B"/>
    <w:rsid w:val="002543D3"/>
    <w:rsid w:val="00261D76"/>
    <w:rsid w:val="0026777B"/>
    <w:rsid w:val="002732D6"/>
    <w:rsid w:val="00274C8E"/>
    <w:rsid w:val="002929A5"/>
    <w:rsid w:val="00296E8E"/>
    <w:rsid w:val="002A0184"/>
    <w:rsid w:val="002A0632"/>
    <w:rsid w:val="002A4765"/>
    <w:rsid w:val="002A47A2"/>
    <w:rsid w:val="002B3E41"/>
    <w:rsid w:val="002B4087"/>
    <w:rsid w:val="002B6993"/>
    <w:rsid w:val="002C11D6"/>
    <w:rsid w:val="002C1A65"/>
    <w:rsid w:val="002C34B7"/>
    <w:rsid w:val="002C451B"/>
    <w:rsid w:val="002C7551"/>
    <w:rsid w:val="002E181E"/>
    <w:rsid w:val="002E4756"/>
    <w:rsid w:val="002E7A0F"/>
    <w:rsid w:val="002F7919"/>
    <w:rsid w:val="00302029"/>
    <w:rsid w:val="003116F0"/>
    <w:rsid w:val="003120EE"/>
    <w:rsid w:val="0032160B"/>
    <w:rsid w:val="0032692A"/>
    <w:rsid w:val="00330A4C"/>
    <w:rsid w:val="003329BA"/>
    <w:rsid w:val="003336A7"/>
    <w:rsid w:val="003341F9"/>
    <w:rsid w:val="00342789"/>
    <w:rsid w:val="00343EA4"/>
    <w:rsid w:val="00347AF7"/>
    <w:rsid w:val="00354DB0"/>
    <w:rsid w:val="00357DC2"/>
    <w:rsid w:val="00365BB9"/>
    <w:rsid w:val="00371EE0"/>
    <w:rsid w:val="0038032C"/>
    <w:rsid w:val="00383120"/>
    <w:rsid w:val="003857B9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1777D"/>
    <w:rsid w:val="00421F8F"/>
    <w:rsid w:val="00423031"/>
    <w:rsid w:val="00423723"/>
    <w:rsid w:val="00424451"/>
    <w:rsid w:val="00433357"/>
    <w:rsid w:val="00437A38"/>
    <w:rsid w:val="00446C99"/>
    <w:rsid w:val="004508DD"/>
    <w:rsid w:val="00454B8A"/>
    <w:rsid w:val="00461250"/>
    <w:rsid w:val="00461473"/>
    <w:rsid w:val="00465DEF"/>
    <w:rsid w:val="00470978"/>
    <w:rsid w:val="004B511D"/>
    <w:rsid w:val="004B5492"/>
    <w:rsid w:val="004C23DB"/>
    <w:rsid w:val="004E0FF1"/>
    <w:rsid w:val="004E2C95"/>
    <w:rsid w:val="004E4B9B"/>
    <w:rsid w:val="004F336B"/>
    <w:rsid w:val="00502087"/>
    <w:rsid w:val="005042DA"/>
    <w:rsid w:val="0051297B"/>
    <w:rsid w:val="0051601E"/>
    <w:rsid w:val="00516DA3"/>
    <w:rsid w:val="00525486"/>
    <w:rsid w:val="005277E0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A67F0"/>
    <w:rsid w:val="005A6EEF"/>
    <w:rsid w:val="005B13B7"/>
    <w:rsid w:val="005B199C"/>
    <w:rsid w:val="005B4038"/>
    <w:rsid w:val="005C01EE"/>
    <w:rsid w:val="005C128C"/>
    <w:rsid w:val="005D0BBB"/>
    <w:rsid w:val="005D1994"/>
    <w:rsid w:val="005D2D84"/>
    <w:rsid w:val="005D7877"/>
    <w:rsid w:val="005E7422"/>
    <w:rsid w:val="005F1D2D"/>
    <w:rsid w:val="005F25C7"/>
    <w:rsid w:val="005F4E55"/>
    <w:rsid w:val="00613DEE"/>
    <w:rsid w:val="00624BC7"/>
    <w:rsid w:val="00627DA6"/>
    <w:rsid w:val="00635E6E"/>
    <w:rsid w:val="006361D4"/>
    <w:rsid w:val="00636825"/>
    <w:rsid w:val="0064312C"/>
    <w:rsid w:val="00644CDB"/>
    <w:rsid w:val="0065013B"/>
    <w:rsid w:val="0065185D"/>
    <w:rsid w:val="006528A4"/>
    <w:rsid w:val="00654900"/>
    <w:rsid w:val="006560AF"/>
    <w:rsid w:val="006577B9"/>
    <w:rsid w:val="006700FA"/>
    <w:rsid w:val="00670F4F"/>
    <w:rsid w:val="00676191"/>
    <w:rsid w:val="006778C1"/>
    <w:rsid w:val="00682BB7"/>
    <w:rsid w:val="006901CF"/>
    <w:rsid w:val="00692873"/>
    <w:rsid w:val="00694397"/>
    <w:rsid w:val="0069650F"/>
    <w:rsid w:val="006A7570"/>
    <w:rsid w:val="006B4592"/>
    <w:rsid w:val="006E226F"/>
    <w:rsid w:val="006E3740"/>
    <w:rsid w:val="006E3A41"/>
    <w:rsid w:val="006F375A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29E6"/>
    <w:rsid w:val="00733065"/>
    <w:rsid w:val="007506B1"/>
    <w:rsid w:val="0075186F"/>
    <w:rsid w:val="0075233A"/>
    <w:rsid w:val="00755F40"/>
    <w:rsid w:val="00756A4E"/>
    <w:rsid w:val="00772E75"/>
    <w:rsid w:val="00773585"/>
    <w:rsid w:val="00782C6F"/>
    <w:rsid w:val="00791A4C"/>
    <w:rsid w:val="007A622D"/>
    <w:rsid w:val="007B489B"/>
    <w:rsid w:val="007B6750"/>
    <w:rsid w:val="007C0DF8"/>
    <w:rsid w:val="007C36C0"/>
    <w:rsid w:val="007D320A"/>
    <w:rsid w:val="007D33B0"/>
    <w:rsid w:val="007E1A1B"/>
    <w:rsid w:val="007E2BE4"/>
    <w:rsid w:val="007F2B1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5402"/>
    <w:rsid w:val="00886615"/>
    <w:rsid w:val="0088671C"/>
    <w:rsid w:val="008A4E09"/>
    <w:rsid w:val="008B1015"/>
    <w:rsid w:val="008B6263"/>
    <w:rsid w:val="008C1F2B"/>
    <w:rsid w:val="008C43E0"/>
    <w:rsid w:val="008D0316"/>
    <w:rsid w:val="008D4DB2"/>
    <w:rsid w:val="008E3570"/>
    <w:rsid w:val="008F10ED"/>
    <w:rsid w:val="008F2F05"/>
    <w:rsid w:val="008F4660"/>
    <w:rsid w:val="009069F9"/>
    <w:rsid w:val="00913483"/>
    <w:rsid w:val="00917D77"/>
    <w:rsid w:val="00921ED0"/>
    <w:rsid w:val="0092450D"/>
    <w:rsid w:val="009325F6"/>
    <w:rsid w:val="00940EBC"/>
    <w:rsid w:val="00946944"/>
    <w:rsid w:val="009469EF"/>
    <w:rsid w:val="00953615"/>
    <w:rsid w:val="009555DD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2A11"/>
    <w:rsid w:val="009A7315"/>
    <w:rsid w:val="009D76E8"/>
    <w:rsid w:val="009F1FF3"/>
    <w:rsid w:val="009F7EAD"/>
    <w:rsid w:val="00A00236"/>
    <w:rsid w:val="00A146D7"/>
    <w:rsid w:val="00A172AF"/>
    <w:rsid w:val="00A22B72"/>
    <w:rsid w:val="00A22EE9"/>
    <w:rsid w:val="00A24FE0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1444F"/>
    <w:rsid w:val="00B21E3B"/>
    <w:rsid w:val="00B2500A"/>
    <w:rsid w:val="00B35BCA"/>
    <w:rsid w:val="00B368D8"/>
    <w:rsid w:val="00B41B8B"/>
    <w:rsid w:val="00B4422D"/>
    <w:rsid w:val="00B640D7"/>
    <w:rsid w:val="00B74E70"/>
    <w:rsid w:val="00B759F0"/>
    <w:rsid w:val="00B77ED3"/>
    <w:rsid w:val="00B80AF7"/>
    <w:rsid w:val="00B874E8"/>
    <w:rsid w:val="00B92977"/>
    <w:rsid w:val="00BA0462"/>
    <w:rsid w:val="00BA06AC"/>
    <w:rsid w:val="00BA2CE7"/>
    <w:rsid w:val="00BA4589"/>
    <w:rsid w:val="00BB08BC"/>
    <w:rsid w:val="00BB3938"/>
    <w:rsid w:val="00BB742D"/>
    <w:rsid w:val="00BB7694"/>
    <w:rsid w:val="00BC39DD"/>
    <w:rsid w:val="00BC4340"/>
    <w:rsid w:val="00BD3455"/>
    <w:rsid w:val="00BD4629"/>
    <w:rsid w:val="00BE4477"/>
    <w:rsid w:val="00C00066"/>
    <w:rsid w:val="00C351B8"/>
    <w:rsid w:val="00C5157B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8396B"/>
    <w:rsid w:val="00C94C62"/>
    <w:rsid w:val="00C96B6D"/>
    <w:rsid w:val="00C97928"/>
    <w:rsid w:val="00CB06F5"/>
    <w:rsid w:val="00CB372B"/>
    <w:rsid w:val="00CB3C43"/>
    <w:rsid w:val="00CD1879"/>
    <w:rsid w:val="00CF2BB9"/>
    <w:rsid w:val="00D01A59"/>
    <w:rsid w:val="00D02CED"/>
    <w:rsid w:val="00D11524"/>
    <w:rsid w:val="00D13444"/>
    <w:rsid w:val="00D15BDB"/>
    <w:rsid w:val="00D22BF5"/>
    <w:rsid w:val="00D24307"/>
    <w:rsid w:val="00D267C2"/>
    <w:rsid w:val="00D30596"/>
    <w:rsid w:val="00D30E09"/>
    <w:rsid w:val="00D317D5"/>
    <w:rsid w:val="00D32652"/>
    <w:rsid w:val="00D4141A"/>
    <w:rsid w:val="00D451FB"/>
    <w:rsid w:val="00D50C0D"/>
    <w:rsid w:val="00D72C69"/>
    <w:rsid w:val="00D75AFD"/>
    <w:rsid w:val="00D7652C"/>
    <w:rsid w:val="00D84640"/>
    <w:rsid w:val="00D873AD"/>
    <w:rsid w:val="00D87F48"/>
    <w:rsid w:val="00D91071"/>
    <w:rsid w:val="00DA010A"/>
    <w:rsid w:val="00DA491F"/>
    <w:rsid w:val="00DA4B64"/>
    <w:rsid w:val="00DB59DD"/>
    <w:rsid w:val="00DB6118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4C68"/>
    <w:rsid w:val="00E152FD"/>
    <w:rsid w:val="00E17C20"/>
    <w:rsid w:val="00E20938"/>
    <w:rsid w:val="00E271EE"/>
    <w:rsid w:val="00E3428F"/>
    <w:rsid w:val="00E441A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D4637"/>
    <w:rsid w:val="00EE1C47"/>
    <w:rsid w:val="00EE4E83"/>
    <w:rsid w:val="00EF33EC"/>
    <w:rsid w:val="00EF5061"/>
    <w:rsid w:val="00F03803"/>
    <w:rsid w:val="00F32712"/>
    <w:rsid w:val="00F36A8D"/>
    <w:rsid w:val="00F42315"/>
    <w:rsid w:val="00F42E7F"/>
    <w:rsid w:val="00F441CD"/>
    <w:rsid w:val="00F450AE"/>
    <w:rsid w:val="00F50724"/>
    <w:rsid w:val="00F636A6"/>
    <w:rsid w:val="00F656A7"/>
    <w:rsid w:val="00F759BF"/>
    <w:rsid w:val="00F867FF"/>
    <w:rsid w:val="00F87CE4"/>
    <w:rsid w:val="00F929B3"/>
    <w:rsid w:val="00F963F3"/>
    <w:rsid w:val="00FB4A57"/>
    <w:rsid w:val="00FB6FC1"/>
    <w:rsid w:val="00FB6FCB"/>
    <w:rsid w:val="00FC2C6A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C36EE"/>
  <w15:chartTrackingRefBased/>
  <w15:docId w15:val="{410A653A-24BD-4FBB-BBF2-8E5AFCE6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873"/>
    <w:pPr>
      <w:spacing w:line="360" w:lineRule="auto"/>
      <w:jc w:val="both"/>
    </w:pPr>
    <w:rPr>
      <w:rFonts w:ascii="Arial" w:hAnsi="Arial"/>
      <w:bCs/>
    </w:rPr>
  </w:style>
  <w:style w:type="paragraph" w:styleId="Heading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Heading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Heading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FootnoteText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Footer">
    <w:name w:val="footer"/>
    <w:basedOn w:val="Normal"/>
    <w:link w:val="FooterCh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EndnoteText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Emphasis">
    <w:name w:val="Emphasis"/>
    <w:qFormat/>
    <w:rsid w:val="003120EE"/>
    <w:rPr>
      <w:i/>
      <w:iCs/>
    </w:rPr>
  </w:style>
  <w:style w:type="table" w:styleId="TableGrid">
    <w:name w:val="Table Grid"/>
    <w:aliases w:val="Tabla ÑL"/>
    <w:basedOn w:val="Table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itle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NoSpacing">
    <w:name w:val="No Spacing"/>
    <w:link w:val="NoSpacingCh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CommentReference">
    <w:name w:val="annotation reference"/>
    <w:rsid w:val="001B01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01C9"/>
  </w:style>
  <w:style w:type="character" w:customStyle="1" w:styleId="CommentTextChar">
    <w:name w:val="Comment Text Char"/>
    <w:link w:val="CommentText"/>
    <w:rsid w:val="001B01C9"/>
    <w:rPr>
      <w:rFonts w:ascii="Arial" w:hAnsi="Arial"/>
      <w:bCs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1B01C9"/>
    <w:rPr>
      <w:b/>
    </w:rPr>
  </w:style>
  <w:style w:type="character" w:customStyle="1" w:styleId="CommentSubjectChar">
    <w:name w:val="Comment Subject Char"/>
    <w:link w:val="CommentSubject"/>
    <w:rsid w:val="001B01C9"/>
    <w:rPr>
      <w:rFonts w:ascii="Arial" w:hAnsi="Arial"/>
      <w:b/>
      <w:bCs/>
      <w:lang w:val="es-ES" w:eastAsia="es-ES"/>
    </w:rPr>
  </w:style>
  <w:style w:type="character" w:customStyle="1" w:styleId="FooterChar">
    <w:name w:val="Footer Char"/>
    <w:basedOn w:val="DefaultParagraphFont"/>
    <w:link w:val="Footer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8B6263"/>
    <w:rPr>
      <w:lang w:eastAsia="es-ES_tradnl"/>
    </w:rPr>
  </w:style>
  <w:style w:type="paragraph" w:styleId="ListParagraph">
    <w:name w:val="List Paragraph"/>
    <w:aliases w:val="párrafo de lista"/>
    <w:basedOn w:val="Normal"/>
    <w:link w:val="ListParagraphCh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ListParagraphChar">
    <w:name w:val="List Paragraph Char"/>
    <w:aliases w:val="párrafo de lista Char"/>
    <w:basedOn w:val="DefaultParagraphFont"/>
    <w:link w:val="ListParagraph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D4141A"/>
    <w:rPr>
      <w:rFonts w:ascii="Arial" w:hAnsi="Arial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fica.camaras.es/ayud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2617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https://justifica.camaras.es/ayudas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Carmen Rodríguez</cp:lastModifiedBy>
  <cp:revision>124</cp:revision>
  <cp:lastPrinted>2022-01-19T19:24:00Z</cp:lastPrinted>
  <dcterms:created xsi:type="dcterms:W3CDTF">2024-01-31T21:18:00Z</dcterms:created>
  <dcterms:modified xsi:type="dcterms:W3CDTF">2025-03-17T08:54:00Z</dcterms:modified>
</cp:coreProperties>
</file>